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53" w:rsidRPr="00987453" w:rsidRDefault="00987453" w:rsidP="00987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noProof/>
          <w:sz w:val="21"/>
          <w:szCs w:val="21"/>
          <w:lang w:eastAsia="es-CO"/>
        </w:rPr>
        <w:drawing>
          <wp:inline distT="0" distB="0" distL="0" distR="0" wp14:anchorId="549698E8" wp14:editId="3074E39C">
            <wp:extent cx="6197600" cy="863600"/>
            <wp:effectExtent l="0" t="0" r="0" b="0"/>
            <wp:docPr id="1" name="Imagen 1" descr="Premios No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os Nob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0ED" w:rsidRPr="005410ED" w:rsidRDefault="005410ED" w:rsidP="00987453">
      <w:pPr>
        <w:shd w:val="clear" w:color="auto" w:fill="FFFFFF"/>
        <w:spacing w:after="150" w:line="240" w:lineRule="auto"/>
        <w:jc w:val="both"/>
        <w:outlineLvl w:val="0"/>
        <w:rPr>
          <w:rFonts w:ascii="Tahoma" w:eastAsia="Times New Roman" w:hAnsi="Tahoma" w:cs="Tahoma"/>
          <w:kern w:val="36"/>
          <w:sz w:val="30"/>
          <w:szCs w:val="30"/>
          <w:lang w:eastAsia="es-CO"/>
        </w:rPr>
      </w:pPr>
      <w:r w:rsidRPr="005410ED">
        <w:rPr>
          <w:rFonts w:ascii="Arial" w:hAnsi="Arial" w:cs="Arial"/>
          <w:sz w:val="21"/>
          <w:szCs w:val="21"/>
          <w:shd w:val="clear" w:color="auto" w:fill="F3F3F3"/>
        </w:rPr>
        <w:t>El Rincón del Vago, en Salamanca desde 1998 - </w:t>
      </w:r>
      <w:hyperlink r:id="rId7" w:history="1">
        <w:r w:rsidRPr="005410ED">
          <w:rPr>
            <w:rFonts w:ascii="Arial" w:hAnsi="Arial" w:cs="Arial"/>
            <w:sz w:val="21"/>
            <w:szCs w:val="21"/>
          </w:rPr>
          <w:t>Condiciones de uso</w:t>
        </w:r>
      </w:hyperlink>
      <w:r w:rsidRPr="005410ED">
        <w:rPr>
          <w:rFonts w:ascii="Arial" w:hAnsi="Arial" w:cs="Arial"/>
          <w:sz w:val="21"/>
          <w:szCs w:val="21"/>
          <w:shd w:val="clear" w:color="auto" w:fill="F3F3F3"/>
        </w:rPr>
        <w:t> - </w:t>
      </w:r>
      <w:hyperlink r:id="rId8" w:history="1">
        <w:r w:rsidRPr="005410ED">
          <w:rPr>
            <w:rFonts w:ascii="Arial" w:hAnsi="Arial" w:cs="Arial"/>
            <w:sz w:val="21"/>
            <w:szCs w:val="21"/>
          </w:rPr>
          <w:t>Contacto</w:t>
        </w:r>
      </w:hyperlink>
      <w:bookmarkStart w:id="0" w:name="_GoBack"/>
      <w:bookmarkEnd w:id="0"/>
    </w:p>
    <w:p w:rsidR="005410ED" w:rsidRDefault="005410ED" w:rsidP="00987453">
      <w:pPr>
        <w:shd w:val="clear" w:color="auto" w:fill="FFFFFF"/>
        <w:spacing w:after="150" w:line="240" w:lineRule="auto"/>
        <w:jc w:val="both"/>
        <w:outlineLvl w:val="0"/>
        <w:rPr>
          <w:rFonts w:ascii="Tahoma" w:eastAsia="Times New Roman" w:hAnsi="Tahoma" w:cs="Tahoma"/>
          <w:kern w:val="36"/>
          <w:sz w:val="30"/>
          <w:szCs w:val="30"/>
          <w:lang w:eastAsia="es-CO"/>
        </w:rPr>
      </w:pPr>
      <w:hyperlink r:id="rId9" w:history="1">
        <w:r w:rsidRPr="00731863">
          <w:rPr>
            <w:rStyle w:val="Hipervnculo"/>
            <w:rFonts w:ascii="Tahoma" w:eastAsia="Times New Roman" w:hAnsi="Tahoma" w:cs="Tahoma"/>
            <w:kern w:val="36"/>
            <w:sz w:val="30"/>
            <w:szCs w:val="30"/>
            <w:lang w:eastAsia="es-CO"/>
          </w:rPr>
          <w:t>http://www.rincondelvago.com/informacion/premios-nobel/premio-nobel-de-quimica</w:t>
        </w:r>
      </w:hyperlink>
      <w:r>
        <w:rPr>
          <w:rFonts w:ascii="Tahoma" w:eastAsia="Times New Roman" w:hAnsi="Tahoma" w:cs="Tahoma"/>
          <w:kern w:val="36"/>
          <w:sz w:val="30"/>
          <w:szCs w:val="30"/>
          <w:lang w:eastAsia="es-CO"/>
        </w:rPr>
        <w:t xml:space="preserve"> [Consultado, marzo 16 de 2013]</w:t>
      </w:r>
    </w:p>
    <w:p w:rsidR="00987453" w:rsidRPr="00987453" w:rsidRDefault="00987453" w:rsidP="00987453">
      <w:pPr>
        <w:shd w:val="clear" w:color="auto" w:fill="FFFFFF"/>
        <w:spacing w:after="150" w:line="240" w:lineRule="auto"/>
        <w:jc w:val="both"/>
        <w:outlineLvl w:val="0"/>
        <w:rPr>
          <w:rFonts w:ascii="Tahoma" w:eastAsia="Times New Roman" w:hAnsi="Tahoma" w:cs="Tahoma"/>
          <w:kern w:val="36"/>
          <w:sz w:val="30"/>
          <w:szCs w:val="30"/>
          <w:lang w:eastAsia="es-CO"/>
        </w:rPr>
      </w:pPr>
      <w:r w:rsidRPr="00987453">
        <w:rPr>
          <w:rFonts w:ascii="Tahoma" w:eastAsia="Times New Roman" w:hAnsi="Tahoma" w:cs="Tahoma"/>
          <w:kern w:val="36"/>
          <w:sz w:val="30"/>
          <w:szCs w:val="30"/>
          <w:lang w:eastAsia="es-CO"/>
        </w:rPr>
        <w:t>Premio Nobel de Química</w:t>
      </w:r>
    </w:p>
    <w:p w:rsidR="00987453" w:rsidRPr="00987453" w:rsidRDefault="00987453" w:rsidP="0098745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hyperlink r:id="rId10" w:tooltip="Medalla del Premio Nobel de Química" w:history="1">
        <w:r w:rsidRPr="00987453">
          <w:rPr>
            <w:rFonts w:ascii="Arial" w:eastAsia="Times New Roman" w:hAnsi="Arial" w:cs="Arial"/>
            <w:noProof/>
            <w:sz w:val="21"/>
            <w:szCs w:val="21"/>
            <w:lang w:eastAsia="es-CO"/>
          </w:rPr>
          <w:drawing>
            <wp:anchor distT="0" distB="0" distL="0" distR="0" simplePos="0" relativeHeight="251659264" behindDoc="0" locked="0" layoutInCell="1" allowOverlap="0" wp14:anchorId="56BDFEDD" wp14:editId="51E73D13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1428750"/>
              <wp:effectExtent l="0" t="0" r="0" b="0"/>
              <wp:wrapSquare wrapText="bothSides"/>
              <wp:docPr id="2" name="Imagen 2" descr="Medalla del Premio Nobel de Química">
                <a:hlinkClick xmlns:a="http://schemas.openxmlformats.org/drawingml/2006/main" r:id="rId10" tooltip="&quot;Medalla del Premio Nobel de Químic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edalla del Premio Nobel de Química">
                        <a:hlinkClick r:id="rId10" tooltip="&quot;Medalla del Premio Nobel de Químic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987453">
        <w:rPr>
          <w:rFonts w:ascii="Arial" w:eastAsia="Times New Roman" w:hAnsi="Arial" w:cs="Arial"/>
          <w:sz w:val="21"/>
          <w:szCs w:val="21"/>
          <w:lang w:eastAsia="es-CO"/>
        </w:rPr>
        <w:t>El </w:t>
      </w: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Premio Nobel de Química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> ha sido concedido en 107 ocasiones, siendo un total de 157 los premiados inclusive los </w:t>
      </w:r>
      <w:hyperlink r:id="rId12" w:tooltip="Premios Nobel 2009" w:history="1">
        <w:r w:rsidRPr="00987453">
          <w:rPr>
            <w:rFonts w:ascii="Arial" w:eastAsia="Times New Roman" w:hAnsi="Arial" w:cs="Arial"/>
            <w:sz w:val="21"/>
            <w:szCs w:val="21"/>
            <w:lang w:eastAsia="es-CO"/>
          </w:rPr>
          <w:t>Premios Nobel 2009</w:t>
        </w:r>
      </w:hyperlink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. Revisando la base de datos de ganadores de los Premios Nobel de Química, comprobamos que la única persona que ha logrado dos veces este galardón fue Frederick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Sanger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>, en los años 1958 y 1980. 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br/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br/>
      </w:r>
      <w:hyperlink r:id="rId13" w:tooltip="Marie Curie" w:history="1">
        <w:r w:rsidRPr="00987453">
          <w:rPr>
            <w:rFonts w:ascii="Arial" w:eastAsia="Times New Roman" w:hAnsi="Arial" w:cs="Arial"/>
            <w:sz w:val="21"/>
            <w:szCs w:val="21"/>
            <w:lang w:eastAsia="es-CO"/>
          </w:rPr>
          <w:t>Marie Curie</w:t>
        </w:r>
      </w:hyperlink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quizá sea el nombre más popular entre los ganadores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del</w:t>
      </w: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Premio</w:t>
      </w:r>
      <w:proofErr w:type="spellEnd"/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 xml:space="preserve"> Nobel de Química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>. La física y química polaca había obtenido en 1903 el </w:t>
      </w:r>
      <w:hyperlink r:id="rId14" w:tooltip="Premio Nobel de Fisíca" w:history="1">
        <w:r w:rsidRPr="00987453">
          <w:rPr>
            <w:rFonts w:ascii="Arial" w:eastAsia="Times New Roman" w:hAnsi="Arial" w:cs="Arial"/>
            <w:sz w:val="21"/>
            <w:szCs w:val="21"/>
            <w:lang w:eastAsia="es-CO"/>
          </w:rPr>
          <w:t>Premio Nobel de Física</w:t>
        </w:r>
      </w:hyperlink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junto a su marido, Pierre Curie. En 1935 una hija de ambos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Irène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Joliot-Curie obtendría el </w:t>
      </w: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Premio Nobel de Química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> en 1935 por su descubrimiento de la radiactividad artificial. Marie Curie (Premio Nobel de Física, </w:t>
      </w: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Premio Nobel de Química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>) y 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fldChar w:fldCharType="begin"/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instrText xml:space="preserve"> HYPERLINK "http://html.rincondelvago.com/esclerosis-en-placas.html" \o "Linus Pauling" </w:instrTex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fldChar w:fldCharType="separate"/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>Linus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Pauling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fldChar w:fldCharType="end"/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> (</w:t>
      </w: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Premio Nobel de Química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> y </w:t>
      </w:r>
      <w:hyperlink r:id="rId15" w:tooltip="Premio Nobel de la Paz" w:history="1">
        <w:r w:rsidRPr="00987453">
          <w:rPr>
            <w:rFonts w:ascii="Arial" w:eastAsia="Times New Roman" w:hAnsi="Arial" w:cs="Arial"/>
            <w:sz w:val="21"/>
            <w:szCs w:val="21"/>
            <w:lang w:eastAsia="es-CO"/>
          </w:rPr>
          <w:t>Premio Nobel de la Paz</w:t>
        </w:r>
      </w:hyperlink>
      <w:r w:rsidRPr="00987453">
        <w:rPr>
          <w:rFonts w:ascii="Arial" w:eastAsia="Times New Roman" w:hAnsi="Arial" w:cs="Arial"/>
          <w:sz w:val="21"/>
          <w:szCs w:val="21"/>
          <w:lang w:eastAsia="es-CO"/>
        </w:rPr>
        <w:t>) son los únicos premiados que han recibido dos Premios Nobel en dos categorías diferentes. </w:t>
      </w:r>
    </w:p>
    <w:p w:rsidR="00987453" w:rsidRPr="00987453" w:rsidRDefault="00987453" w:rsidP="0098745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sz w:val="30"/>
          <w:szCs w:val="30"/>
          <w:lang w:eastAsia="es-CO"/>
        </w:rPr>
      </w:pPr>
      <w:r w:rsidRPr="00987453">
        <w:rPr>
          <w:rFonts w:ascii="Tahoma" w:eastAsia="Times New Roman" w:hAnsi="Tahoma" w:cs="Tahoma"/>
          <w:sz w:val="30"/>
          <w:szCs w:val="30"/>
          <w:lang w:eastAsia="es-CO"/>
        </w:rPr>
        <w:t>¿Cuál es el procedimiento de nominación y selección de los ganadores del Premio Nobel de Química?</w:t>
      </w:r>
    </w:p>
    <w:p w:rsidR="00987453" w:rsidRPr="00987453" w:rsidRDefault="00987453" w:rsidP="0098745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sz w:val="21"/>
          <w:szCs w:val="21"/>
          <w:lang w:eastAsia="es-CO"/>
        </w:rPr>
        <w:t>Al igual que con el </w:t>
      </w:r>
      <w:hyperlink r:id="rId16" w:tooltip="Premio Nobel de Fisíca" w:history="1">
        <w:r w:rsidRPr="00987453">
          <w:rPr>
            <w:rFonts w:ascii="Arial" w:eastAsia="Times New Roman" w:hAnsi="Arial" w:cs="Arial"/>
            <w:sz w:val="21"/>
            <w:szCs w:val="21"/>
            <w:lang w:eastAsia="es-CO"/>
          </w:rPr>
          <w:t xml:space="preserve">Premio Nobel de </w:t>
        </w:r>
        <w:proofErr w:type="spellStart"/>
        <w:r w:rsidRPr="00987453">
          <w:rPr>
            <w:rFonts w:ascii="Arial" w:eastAsia="Times New Roman" w:hAnsi="Arial" w:cs="Arial"/>
            <w:sz w:val="21"/>
            <w:szCs w:val="21"/>
            <w:lang w:eastAsia="es-CO"/>
          </w:rPr>
          <w:t>Fisíca</w:t>
        </w:r>
        <w:proofErr w:type="spellEnd"/>
      </w:hyperlink>
      <w:r w:rsidRPr="00987453">
        <w:rPr>
          <w:rFonts w:ascii="Arial" w:eastAsia="Times New Roman" w:hAnsi="Arial" w:cs="Arial"/>
          <w:sz w:val="21"/>
          <w:szCs w:val="21"/>
          <w:lang w:eastAsia="es-CO"/>
        </w:rPr>
        <w:t> y con el </w:t>
      </w:r>
      <w:hyperlink r:id="rId17" w:tooltip="Premio Nobel de Economía" w:history="1">
        <w:r w:rsidRPr="00987453">
          <w:rPr>
            <w:rFonts w:ascii="Arial" w:eastAsia="Times New Roman" w:hAnsi="Arial" w:cs="Arial"/>
            <w:sz w:val="21"/>
            <w:szCs w:val="21"/>
            <w:lang w:eastAsia="es-CO"/>
          </w:rPr>
          <w:t>Premio Nobel de Economía</w:t>
        </w:r>
      </w:hyperlink>
      <w:r w:rsidRPr="00987453">
        <w:rPr>
          <w:rFonts w:ascii="Arial" w:eastAsia="Times New Roman" w:hAnsi="Arial" w:cs="Arial"/>
          <w:sz w:val="21"/>
          <w:szCs w:val="21"/>
          <w:lang w:eastAsia="es-CO"/>
        </w:rPr>
        <w:t>, es la Real Academia Sueca de las Ciencias la encargada de designar los correspondientes Premios Nobel de Química entre los candidatos recomendados por el </w:t>
      </w: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Comité Nobel de Química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>. Este Comité, encargado de hacer la criba final de candidatos se compone de 5 miembros según los Estatutos de la </w:t>
      </w: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Fundación Nobel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>, pero en la práctica incluye otros miembros adjuntos que tienen el mismo derecho de voto que el resto de miembros. </w:t>
      </w:r>
    </w:p>
    <w:p w:rsidR="00987453" w:rsidRPr="00987453" w:rsidRDefault="00987453" w:rsidP="0098745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sz w:val="30"/>
          <w:szCs w:val="30"/>
          <w:lang w:eastAsia="es-CO"/>
        </w:rPr>
      </w:pPr>
      <w:r w:rsidRPr="00987453">
        <w:rPr>
          <w:rFonts w:ascii="Tahoma" w:eastAsia="Times New Roman" w:hAnsi="Tahoma" w:cs="Tahoma"/>
          <w:sz w:val="30"/>
          <w:szCs w:val="30"/>
          <w:lang w:eastAsia="es-CO"/>
        </w:rPr>
        <w:t>¿A quién puede designar el Comité Nobel de Química como candidatos al Premio Nobel de Química?</w:t>
      </w:r>
    </w:p>
    <w:p w:rsidR="00987453" w:rsidRPr="00987453" w:rsidRDefault="00987453" w:rsidP="0098745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sz w:val="21"/>
          <w:szCs w:val="21"/>
          <w:lang w:eastAsia="es-CO"/>
        </w:rPr>
        <w:t>En septiembre de cada año el </w:t>
      </w: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Comité Nobel de Química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> envía invitaciones confidenciales a</w:t>
      </w: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personas cualificadas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> en el ámbito de las Ciencias Químicas, para que propongan nombres de candidatos para el </w:t>
      </w: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Premio Nobel de Química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>. Estas </w:t>
      </w: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personas cualificadas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> no pueden votarse a sí mismos. Entre estas </w:t>
      </w: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personas cualificadas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se encuentran anteriores galardonados con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el</w:t>
      </w: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Premio</w:t>
      </w:r>
      <w:proofErr w:type="spellEnd"/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 xml:space="preserve"> Nobel de Química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, miembros de la Real Academia Sueca de las Ciencias, o profesores universitarios en la rama de Químicas de los países escandinavos. Las propuestas de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las</w:t>
      </w: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personas</w:t>
      </w:r>
      <w:proofErr w:type="spellEnd"/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 xml:space="preserve"> cualificadas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> deben ser enviadas al </w:t>
      </w: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Comité Nobel de Química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> antes del 31 de enero del año siguiente. El Comité durante el mes de febrero examinará los nombres propuestos: cada año se suelen recibir del orden de 250 a 350 nombres de candidatos propuestos a los Premios Nobel de Química. Entre los meses de marzo y mayo el </w:t>
      </w: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Comité Nobel de Química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consulta con diferentes expertos los nombres de 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lastRenderedPageBreak/>
        <w:t>estos candidatos preliminares. El </w:t>
      </w: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 xml:space="preserve">Comité Nobel de </w:t>
      </w:r>
      <w:proofErr w:type="spellStart"/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Química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>realizará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un informe recabando todos los antecedentes y lo remitirá a la Real Academia Sueca de las Ciencias en el mes de septiembre. A principios de octubre la Academia designará, por mayoría simple de sus miembros, a los ganadores del </w:t>
      </w: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Premio Nobel de Química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>. Esta decisión es inapelable y se comunica de forma inmediata en todos los medios disponibles. 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br/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br/>
        <w:t>Cualquier información relativa a los nominados al </w:t>
      </w: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Premio Nobel de Química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> ha de permanecer secreta durante 50 años. Esta restricción afecta a todas las personas que han intervenido en el proceso de nominación y selección. </w:t>
      </w:r>
    </w:p>
    <w:p w:rsidR="00987453" w:rsidRPr="00987453" w:rsidRDefault="00987453" w:rsidP="0098745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sz w:val="30"/>
          <w:szCs w:val="30"/>
          <w:lang w:eastAsia="es-CO"/>
        </w:rPr>
      </w:pPr>
      <w:r w:rsidRPr="00987453">
        <w:rPr>
          <w:rFonts w:ascii="Tahoma" w:eastAsia="Times New Roman" w:hAnsi="Tahoma" w:cs="Tahoma"/>
          <w:sz w:val="30"/>
          <w:szCs w:val="30"/>
          <w:lang w:eastAsia="es-CO"/>
        </w:rPr>
        <w:t>Dotación económica</w:t>
      </w:r>
    </w:p>
    <w:p w:rsidR="00987453" w:rsidRPr="00987453" w:rsidRDefault="00987453" w:rsidP="0098745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sz w:val="21"/>
          <w:szCs w:val="21"/>
          <w:lang w:eastAsia="es-CO"/>
        </w:rPr>
        <w:t>Desde el año 2001 la suma que se lleva el ganador del </w:t>
      </w: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Premio Nobel de Química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> es de 10 millones de coronas suecas, algo menos de 970.000 euros y algo más de 1.400.000 dólares americanos. </w:t>
      </w:r>
    </w:p>
    <w:p w:rsidR="00987453" w:rsidRPr="00987453" w:rsidRDefault="00987453" w:rsidP="0098745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sz w:val="30"/>
          <w:szCs w:val="30"/>
          <w:lang w:eastAsia="es-CO"/>
        </w:rPr>
      </w:pPr>
      <w:r w:rsidRPr="00987453">
        <w:rPr>
          <w:rFonts w:ascii="Tahoma" w:eastAsia="Times New Roman" w:hAnsi="Tahoma" w:cs="Tahoma"/>
          <w:sz w:val="30"/>
          <w:szCs w:val="30"/>
          <w:lang w:eastAsia="es-CO"/>
        </w:rPr>
        <w:t>Archivo histórico de los Premios Nobel de Química</w:t>
      </w:r>
    </w:p>
    <w:p w:rsidR="00987453" w:rsidRPr="00987453" w:rsidRDefault="00987453" w:rsidP="00987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sz w:val="21"/>
          <w:szCs w:val="21"/>
          <w:lang w:eastAsia="es-CO"/>
        </w:rPr>
        <w:t>(</w:t>
      </w:r>
      <w:proofErr w:type="gram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no</w:t>
      </w:r>
      <w:proofErr w:type="gram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incluye los años que no se concedió el premio)</w:t>
      </w:r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2012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Robert J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Lefkowitz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y Brian K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Kobilka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2011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Dan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Shechtman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hyperlink r:id="rId18" w:tooltip="Gerhard Ertl" w:history="1">
        <w:r w:rsidRPr="00987453">
          <w:rPr>
            <w:rFonts w:ascii="Arial" w:eastAsia="Times New Roman" w:hAnsi="Arial" w:cs="Arial"/>
            <w:noProof/>
            <w:sz w:val="21"/>
            <w:szCs w:val="21"/>
            <w:lang w:eastAsia="es-CO"/>
          </w:rPr>
          <w:drawing>
            <wp:anchor distT="0" distB="0" distL="0" distR="0" simplePos="0" relativeHeight="251660288" behindDoc="0" locked="0" layoutInCell="1" allowOverlap="0" wp14:anchorId="2FAEA245" wp14:editId="599410F9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57275" cy="1428750"/>
              <wp:effectExtent l="0" t="0" r="9525" b="0"/>
              <wp:wrapSquare wrapText="bothSides"/>
              <wp:docPr id="3" name="Imagen 3" descr="Gerhard Ertl">
                <a:hlinkClick xmlns:a="http://schemas.openxmlformats.org/drawingml/2006/main" r:id="rId18" tooltip="&quot;Gerhard Ertl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Gerhard Ertl">
                        <a:hlinkClick r:id="rId18" tooltip="&quot;Gerhard Ertl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7275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2010 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- Richard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Heck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>, Ei-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ichi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Negishi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y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Akira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Suzuki</w:t>
      </w:r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2009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Venkatraman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Ramakrishnan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, Thomas A.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Steitz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, Ada E.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Yonath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2008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Osamu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Shimomura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, Martin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Chalfie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, Roger Y.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Tsien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2007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Gerhard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Ertl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2006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Roger D.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Kornberg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2005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Yves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Chauvin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, Robert H.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Grubbs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, Richard R.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Schrock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2004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Aaron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Ciechanover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,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Avram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Hershko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,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Irwin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Rose</w:t>
      </w:r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2003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Peter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Agre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,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Roderick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MacKinnon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2002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John B.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Fenn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,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Koichi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Tanaka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,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Kurt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Wüthrich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2001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William S.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Knowles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,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Ryoji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Noyori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, K. Barry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Sharpless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2000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Alan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Heeger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, Alan G.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MacDiarmid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,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Hideki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Shirakawa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1999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Ahmed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Zewail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1998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Walter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Kohn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, John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Pople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1997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Paul D.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Boyer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, John E. Walker,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Jens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C.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Skou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1996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Robert F.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Curl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Jr., Sir Harold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Kroto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, Richard E.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Smalley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1995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Paul J.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Crutzen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, Mario J. Molina, F.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Sherwood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Rowland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1994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George A.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Olah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1993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Kary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B.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Mullis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>, Michael Smith</w:t>
      </w:r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1992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Rudolph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A. Marcus</w:t>
      </w:r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1991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> - Richard R. Ernst</w:t>
      </w:r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1990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Elias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James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Corey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lastRenderedPageBreak/>
        <w:t>1989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Sidney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Altman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, Thomas R.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Cech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1988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Johann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Deisenhofer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, Robert Huber,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Hartmut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Michel</w:t>
      </w:r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1987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Donald J.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Cram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, Jean-Marie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Lehn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, Charles J.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Pedersen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1986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Dudley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R.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Herschbach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, Yuan T. Lee, John C.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Polanyi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1985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Herbert A.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Hauptman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, Jerome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Karle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1984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Bruce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Merrifield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1983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Henry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Taube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1982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Aaron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Klug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1981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Kenichi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Fukui,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Roald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Hoffmann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1980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Paul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Berg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, Walter Gilbert, Frederick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Sanger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1979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Herbert C. Brown, Georg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Wittig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1978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> - Peter Mitchell</w:t>
      </w:r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1977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Ilya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Prigogine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1976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William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Lipscomb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1975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John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Cornforth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, Vladimir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Prelog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1974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Paul J.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Flory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1973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Ernst Otto Fischer, Geoffrey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Wilkinson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1972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Christian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Anfinsen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, Stanford Moore, William H.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Stein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1971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> - Gerhard Herzberg</w:t>
      </w:r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1970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> - Luis Leloir</w:t>
      </w:r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1969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Derek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Barton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,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Odd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Hassel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1968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Lars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Onsager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1967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Manfred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Eigen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, Ronald G.W.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Norrish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, George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Porter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1966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Robert S.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Mulliken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1965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Robert B.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Woodward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1964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Dorothy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Crowfoot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Hodgkin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1963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Karl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Ziegler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, Giulio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Natta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1962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Max F.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Perutz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, John C.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Kendrew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1961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> - Melvin Calvin</w:t>
      </w:r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1960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Willard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F.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Libby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1959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Jaroslav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Heyrovsky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hyperlink r:id="rId20" w:tooltip="Linus Pauling" w:history="1">
        <w:r w:rsidRPr="00987453">
          <w:rPr>
            <w:rFonts w:ascii="Arial" w:eastAsia="Times New Roman" w:hAnsi="Arial" w:cs="Arial"/>
            <w:noProof/>
            <w:sz w:val="21"/>
            <w:szCs w:val="21"/>
            <w:lang w:eastAsia="es-CO"/>
          </w:rPr>
          <w:drawing>
            <wp:anchor distT="0" distB="0" distL="0" distR="0" simplePos="0" relativeHeight="251661312" behindDoc="0" locked="0" layoutInCell="1" allowOverlap="0" wp14:anchorId="1AF844F4" wp14:editId="417A03BB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428750" cy="1428750"/>
              <wp:effectExtent l="0" t="0" r="0" b="0"/>
              <wp:wrapSquare wrapText="bothSides"/>
              <wp:docPr id="4" name="Imagen 4" descr="Linus Pauling">
                <a:hlinkClick xmlns:a="http://schemas.openxmlformats.org/drawingml/2006/main" r:id="rId20" tooltip="&quot;Linus Pauling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Linus Pauling">
                        <a:hlinkClick r:id="rId20" tooltip="&quot;Linus Pauling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1958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Frederick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Sanger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1957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Lord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Todd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1956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Sir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Cyril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Hinshelwood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,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Nikolay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Semenov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1955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Vincent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du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Vigneaud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1954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Linus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Pauling</w:t>
      </w:r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1953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Hermann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Staudinger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lastRenderedPageBreak/>
        <w:t>1952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Archer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J.P. Martin, Richard L.M.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Synge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1951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Edwin M.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McMillan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, Glenn T.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Seaborg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1950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Otto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Diels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,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Kurt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Alder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1949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William F.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Giauque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1948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Arne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Tiselius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1947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> - Sir Robert Robinson</w:t>
      </w:r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1946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James B.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Sumner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, John H.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Northrop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,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Wendell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M. Stanley</w:t>
      </w:r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1945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Artturi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Virtanen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1944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> - Otto Hahn</w:t>
      </w:r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1943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George de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Hevesy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1939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Adolf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Butenandt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,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Leopold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Ruzicka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1938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> - Richard Kuhn</w:t>
      </w:r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1937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Norman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Haworth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>, Paul Karrer</w:t>
      </w:r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1936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Peter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Debye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1935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Frédéric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Joliot,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Irène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Joliot-Curie</w:t>
      </w:r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1934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Harold C.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Urey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1932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Irving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Langmuir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1931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Carl Bosch, Friedrich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Bergius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1930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> - Hans Fischer</w:t>
      </w:r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1929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Arthur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Harden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>, Hans von Euler-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Chelpin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1928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Adolf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Windaus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1927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Heinrich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Wieland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1926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The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Svedberg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1925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Richard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Zsigmondy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1923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Fritz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Pregl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noProof/>
          <w:sz w:val="21"/>
          <w:szCs w:val="21"/>
          <w:lang w:eastAsia="es-CO"/>
        </w:rPr>
        <w:drawing>
          <wp:anchor distT="0" distB="0" distL="0" distR="0" simplePos="0" relativeHeight="251662336" behindDoc="0" locked="0" layoutInCell="1" allowOverlap="0" wp14:anchorId="68C84CE3" wp14:editId="673A877D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533525"/>
            <wp:effectExtent l="0" t="0" r="0" b="9525"/>
            <wp:wrapSquare wrapText="bothSides"/>
            <wp:docPr id="5" name="Imagen 5" descr="Frédéric Joliot, Irène Joliot-Curie">
              <a:hlinkClick xmlns:a="http://schemas.openxmlformats.org/drawingml/2006/main" r:id="rId22" tooltip="&quot;Frédéric Joliot, Irène Joliot-Curi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édéric Joliot, Irène Joliot-Curie">
                      <a:hlinkClick r:id="rId22" tooltip="&quot;Frédéric Joliot, Irène Joliot-Curi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1922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> - Francis W. Aston</w:t>
      </w:r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1921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Frederick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Soddy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1920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Walther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Nernst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hyperlink r:id="rId24" w:tooltip="Frédéric Joliot, Irène Joliot-Curie" w:history="1"/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1918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> - Fritz Haber</w:t>
      </w:r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1915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Richard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Willstätter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1914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> - Theodore W. Richards</w:t>
      </w:r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1913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> - Alfred Werner</w:t>
      </w:r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1912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Victor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Grignard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, Paul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Sabatier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1911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> - Marie Curie</w:t>
      </w:r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1910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Otto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Wallach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1909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Wilhelm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Ostwald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1908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Ernest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Rutherford</w:t>
      </w:r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lastRenderedPageBreak/>
        <w:t>1907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Eduard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Buchner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1906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Henri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Moissan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1905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Adolf von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Baeyer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1904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Sir William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Ramsay</w:t>
      </w:r>
      <w:proofErr w:type="spellEnd"/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1903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Svante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Arrhenius</w:t>
      </w:r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1902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> - Emil Fischer</w:t>
      </w:r>
    </w:p>
    <w:p w:rsidR="00987453" w:rsidRPr="00987453" w:rsidRDefault="00987453" w:rsidP="00987453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05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987453">
        <w:rPr>
          <w:rFonts w:ascii="Arial" w:eastAsia="Times New Roman" w:hAnsi="Arial" w:cs="Arial"/>
          <w:b/>
          <w:bCs/>
          <w:sz w:val="21"/>
          <w:szCs w:val="21"/>
          <w:lang w:eastAsia="es-CO"/>
        </w:rPr>
        <w:t>1901</w:t>
      </w:r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 -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Jacobus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H.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van't</w:t>
      </w:r>
      <w:proofErr w:type="spellEnd"/>
      <w:r w:rsidRPr="00987453">
        <w:rPr>
          <w:rFonts w:ascii="Arial" w:eastAsia="Times New Roman" w:hAnsi="Arial" w:cs="Arial"/>
          <w:sz w:val="21"/>
          <w:szCs w:val="21"/>
          <w:lang w:eastAsia="es-CO"/>
        </w:rPr>
        <w:t xml:space="preserve"> </w:t>
      </w:r>
      <w:proofErr w:type="spellStart"/>
      <w:r w:rsidRPr="00987453">
        <w:rPr>
          <w:rFonts w:ascii="Arial" w:eastAsia="Times New Roman" w:hAnsi="Arial" w:cs="Arial"/>
          <w:sz w:val="21"/>
          <w:szCs w:val="21"/>
          <w:lang w:eastAsia="es-CO"/>
        </w:rPr>
        <w:t>Hoff</w:t>
      </w:r>
      <w:proofErr w:type="spellEnd"/>
    </w:p>
    <w:p w:rsidR="001A61C6" w:rsidRPr="00987453" w:rsidRDefault="001A61C6" w:rsidP="00987453">
      <w:pPr>
        <w:jc w:val="both"/>
      </w:pPr>
    </w:p>
    <w:sectPr w:rsidR="001A61C6" w:rsidRPr="009874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C80"/>
    <w:multiLevelType w:val="multilevel"/>
    <w:tmpl w:val="14B2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53"/>
    <w:rsid w:val="00011094"/>
    <w:rsid w:val="00022003"/>
    <w:rsid w:val="00053126"/>
    <w:rsid w:val="000560A9"/>
    <w:rsid w:val="00087115"/>
    <w:rsid w:val="000A2625"/>
    <w:rsid w:val="000A263C"/>
    <w:rsid w:val="000A2F94"/>
    <w:rsid w:val="000A40A8"/>
    <w:rsid w:val="000C32DE"/>
    <w:rsid w:val="000D64B4"/>
    <w:rsid w:val="00107B6C"/>
    <w:rsid w:val="00110A81"/>
    <w:rsid w:val="00113571"/>
    <w:rsid w:val="001213B7"/>
    <w:rsid w:val="00131D00"/>
    <w:rsid w:val="00154CE9"/>
    <w:rsid w:val="001565D6"/>
    <w:rsid w:val="00175D35"/>
    <w:rsid w:val="00186777"/>
    <w:rsid w:val="0018790A"/>
    <w:rsid w:val="001A43FD"/>
    <w:rsid w:val="001A4C21"/>
    <w:rsid w:val="001A56A1"/>
    <w:rsid w:val="001A61C6"/>
    <w:rsid w:val="001B00F9"/>
    <w:rsid w:val="001B6EA0"/>
    <w:rsid w:val="001C0591"/>
    <w:rsid w:val="001D0677"/>
    <w:rsid w:val="001D79DB"/>
    <w:rsid w:val="001F289D"/>
    <w:rsid w:val="001F4721"/>
    <w:rsid w:val="0022780B"/>
    <w:rsid w:val="00235A13"/>
    <w:rsid w:val="00236101"/>
    <w:rsid w:val="00281E44"/>
    <w:rsid w:val="00291EA1"/>
    <w:rsid w:val="00296C3A"/>
    <w:rsid w:val="002C5D1D"/>
    <w:rsid w:val="002D09B9"/>
    <w:rsid w:val="002D1C89"/>
    <w:rsid w:val="002D23B8"/>
    <w:rsid w:val="0030241D"/>
    <w:rsid w:val="00310A08"/>
    <w:rsid w:val="0034462B"/>
    <w:rsid w:val="0035638C"/>
    <w:rsid w:val="003769F3"/>
    <w:rsid w:val="003A5C7B"/>
    <w:rsid w:val="003A737B"/>
    <w:rsid w:val="003B0877"/>
    <w:rsid w:val="003B4348"/>
    <w:rsid w:val="003D0717"/>
    <w:rsid w:val="003D0F30"/>
    <w:rsid w:val="004162E5"/>
    <w:rsid w:val="00417866"/>
    <w:rsid w:val="00427F55"/>
    <w:rsid w:val="0043284B"/>
    <w:rsid w:val="00436CF1"/>
    <w:rsid w:val="00441B21"/>
    <w:rsid w:val="00450DCF"/>
    <w:rsid w:val="004564DA"/>
    <w:rsid w:val="00480A15"/>
    <w:rsid w:val="00487012"/>
    <w:rsid w:val="004A68DA"/>
    <w:rsid w:val="004B4626"/>
    <w:rsid w:val="004C3D22"/>
    <w:rsid w:val="004D00A4"/>
    <w:rsid w:val="004D7F84"/>
    <w:rsid w:val="004F0E5B"/>
    <w:rsid w:val="005033B0"/>
    <w:rsid w:val="00513BAB"/>
    <w:rsid w:val="00525E76"/>
    <w:rsid w:val="005379F9"/>
    <w:rsid w:val="005410ED"/>
    <w:rsid w:val="00541371"/>
    <w:rsid w:val="00567818"/>
    <w:rsid w:val="005739BB"/>
    <w:rsid w:val="00593AF9"/>
    <w:rsid w:val="005B2E2C"/>
    <w:rsid w:val="005C652A"/>
    <w:rsid w:val="005C76A4"/>
    <w:rsid w:val="005D457F"/>
    <w:rsid w:val="005E547D"/>
    <w:rsid w:val="005F7D6C"/>
    <w:rsid w:val="00613A50"/>
    <w:rsid w:val="006207B2"/>
    <w:rsid w:val="00624AB6"/>
    <w:rsid w:val="00640450"/>
    <w:rsid w:val="00641E8F"/>
    <w:rsid w:val="0066629E"/>
    <w:rsid w:val="00673EBC"/>
    <w:rsid w:val="00690BD4"/>
    <w:rsid w:val="006B4B1F"/>
    <w:rsid w:val="006C1696"/>
    <w:rsid w:val="006D5476"/>
    <w:rsid w:val="006E065F"/>
    <w:rsid w:val="006E16D9"/>
    <w:rsid w:val="006F1C6A"/>
    <w:rsid w:val="00702F36"/>
    <w:rsid w:val="00705375"/>
    <w:rsid w:val="00707DC6"/>
    <w:rsid w:val="00715EA8"/>
    <w:rsid w:val="007240A4"/>
    <w:rsid w:val="00731262"/>
    <w:rsid w:val="00735D13"/>
    <w:rsid w:val="00746ABE"/>
    <w:rsid w:val="00750C4B"/>
    <w:rsid w:val="0075146C"/>
    <w:rsid w:val="00757C4E"/>
    <w:rsid w:val="00783804"/>
    <w:rsid w:val="00785829"/>
    <w:rsid w:val="00786D21"/>
    <w:rsid w:val="00793278"/>
    <w:rsid w:val="00795555"/>
    <w:rsid w:val="007B45F7"/>
    <w:rsid w:val="007E5885"/>
    <w:rsid w:val="007E6BE5"/>
    <w:rsid w:val="007E6D6A"/>
    <w:rsid w:val="007E7B3F"/>
    <w:rsid w:val="007F0FA5"/>
    <w:rsid w:val="007F1700"/>
    <w:rsid w:val="0081730E"/>
    <w:rsid w:val="008341E6"/>
    <w:rsid w:val="00844C20"/>
    <w:rsid w:val="00863797"/>
    <w:rsid w:val="00873F00"/>
    <w:rsid w:val="008B14EB"/>
    <w:rsid w:val="008C3358"/>
    <w:rsid w:val="008C3EC8"/>
    <w:rsid w:val="008D7C7B"/>
    <w:rsid w:val="008F0153"/>
    <w:rsid w:val="00900F1B"/>
    <w:rsid w:val="00911143"/>
    <w:rsid w:val="00921CB9"/>
    <w:rsid w:val="0092581B"/>
    <w:rsid w:val="00934274"/>
    <w:rsid w:val="0093464C"/>
    <w:rsid w:val="00934E45"/>
    <w:rsid w:val="00951C49"/>
    <w:rsid w:val="00954D21"/>
    <w:rsid w:val="00967186"/>
    <w:rsid w:val="009721C5"/>
    <w:rsid w:val="0097751E"/>
    <w:rsid w:val="00987453"/>
    <w:rsid w:val="00990425"/>
    <w:rsid w:val="009922DA"/>
    <w:rsid w:val="009B5111"/>
    <w:rsid w:val="009C33AF"/>
    <w:rsid w:val="009E1758"/>
    <w:rsid w:val="009F0B61"/>
    <w:rsid w:val="00A13953"/>
    <w:rsid w:val="00A21138"/>
    <w:rsid w:val="00A35F90"/>
    <w:rsid w:val="00A367D2"/>
    <w:rsid w:val="00A43BD6"/>
    <w:rsid w:val="00A4614C"/>
    <w:rsid w:val="00A50A8B"/>
    <w:rsid w:val="00A82168"/>
    <w:rsid w:val="00AC4E95"/>
    <w:rsid w:val="00AD081D"/>
    <w:rsid w:val="00AD6DA0"/>
    <w:rsid w:val="00AD73E9"/>
    <w:rsid w:val="00AE046D"/>
    <w:rsid w:val="00AE1A95"/>
    <w:rsid w:val="00AE26BD"/>
    <w:rsid w:val="00AE32E6"/>
    <w:rsid w:val="00AE62E5"/>
    <w:rsid w:val="00B06C3E"/>
    <w:rsid w:val="00B10170"/>
    <w:rsid w:val="00B43950"/>
    <w:rsid w:val="00B53A38"/>
    <w:rsid w:val="00B54FD3"/>
    <w:rsid w:val="00B554F1"/>
    <w:rsid w:val="00B66B00"/>
    <w:rsid w:val="00B74F84"/>
    <w:rsid w:val="00B92F9C"/>
    <w:rsid w:val="00BA66F3"/>
    <w:rsid w:val="00BB240C"/>
    <w:rsid w:val="00BD3D46"/>
    <w:rsid w:val="00BE574D"/>
    <w:rsid w:val="00C15159"/>
    <w:rsid w:val="00C3353F"/>
    <w:rsid w:val="00C345E5"/>
    <w:rsid w:val="00C607C4"/>
    <w:rsid w:val="00C65847"/>
    <w:rsid w:val="00C65A0C"/>
    <w:rsid w:val="00C73F97"/>
    <w:rsid w:val="00C7552C"/>
    <w:rsid w:val="00C7769E"/>
    <w:rsid w:val="00C77BF5"/>
    <w:rsid w:val="00C82970"/>
    <w:rsid w:val="00C95153"/>
    <w:rsid w:val="00C96B8E"/>
    <w:rsid w:val="00CA3AFC"/>
    <w:rsid w:val="00CB4C3D"/>
    <w:rsid w:val="00CB55E6"/>
    <w:rsid w:val="00CC364B"/>
    <w:rsid w:val="00CD2288"/>
    <w:rsid w:val="00D157D8"/>
    <w:rsid w:val="00D17651"/>
    <w:rsid w:val="00D202A8"/>
    <w:rsid w:val="00D808B7"/>
    <w:rsid w:val="00D82B4B"/>
    <w:rsid w:val="00D85FBA"/>
    <w:rsid w:val="00D90557"/>
    <w:rsid w:val="00D96A2C"/>
    <w:rsid w:val="00DA0D8A"/>
    <w:rsid w:val="00DA7910"/>
    <w:rsid w:val="00DB4C0D"/>
    <w:rsid w:val="00DC6F28"/>
    <w:rsid w:val="00DD2794"/>
    <w:rsid w:val="00DF3DF2"/>
    <w:rsid w:val="00E02847"/>
    <w:rsid w:val="00E1484B"/>
    <w:rsid w:val="00E30B76"/>
    <w:rsid w:val="00E3214D"/>
    <w:rsid w:val="00E40818"/>
    <w:rsid w:val="00E47EE0"/>
    <w:rsid w:val="00E51880"/>
    <w:rsid w:val="00E53A2B"/>
    <w:rsid w:val="00E63929"/>
    <w:rsid w:val="00E715E8"/>
    <w:rsid w:val="00E9294E"/>
    <w:rsid w:val="00E9561A"/>
    <w:rsid w:val="00EB2E1B"/>
    <w:rsid w:val="00EB3ACA"/>
    <w:rsid w:val="00ED18FB"/>
    <w:rsid w:val="00ED3459"/>
    <w:rsid w:val="00EE4F9C"/>
    <w:rsid w:val="00F0598C"/>
    <w:rsid w:val="00F2016B"/>
    <w:rsid w:val="00F274B6"/>
    <w:rsid w:val="00F36BF1"/>
    <w:rsid w:val="00F5607B"/>
    <w:rsid w:val="00F712C8"/>
    <w:rsid w:val="00F93B3A"/>
    <w:rsid w:val="00FA6D81"/>
    <w:rsid w:val="00FB37D6"/>
    <w:rsid w:val="00FD3C98"/>
    <w:rsid w:val="00FD4251"/>
    <w:rsid w:val="00FD6D86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45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410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45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41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446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19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21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97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38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http://html.rincondelvago.com/marie-curie_4.html" TargetMode="External"/><Relationship Id="rId18" Type="http://schemas.openxmlformats.org/officeDocument/2006/relationships/hyperlink" Target="http://www.rincondelvago.com/informacion/premios-nobel/img/ertl_banquet.jp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4.jpeg"/><Relationship Id="rId7" Type="http://schemas.openxmlformats.org/officeDocument/2006/relationships/hyperlink" Target="http://www.rincondelvago.com/servicios/condiciones.php" TargetMode="External"/><Relationship Id="rId12" Type="http://schemas.openxmlformats.org/officeDocument/2006/relationships/hyperlink" Target="http://www.rincondelvago.com/informacion/premios-nobel/premios-nobel-2009" TargetMode="External"/><Relationship Id="rId17" Type="http://schemas.openxmlformats.org/officeDocument/2006/relationships/hyperlink" Target="http://www.rincondelvago.com/informacion/premios-nobel/premio-nobel-de-economi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incondelvago.com/informacion/premios-nobel/premio-nobel-de-fisica" TargetMode="External"/><Relationship Id="rId20" Type="http://schemas.openxmlformats.org/officeDocument/2006/relationships/hyperlink" Target="http://www.rincondelvago.com/informacion/premios-nobel/img/premio_nobel_quimica_2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24" Type="http://schemas.openxmlformats.org/officeDocument/2006/relationships/hyperlink" Target="http://www.rincondelvago.com/informacion/premios-nobel/img/premio_nobel_quimica_3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incondelvago.com/informacion/premios-nobel/premio-nobel-de-la-paz" TargetMode="External"/><Relationship Id="rId23" Type="http://schemas.openxmlformats.org/officeDocument/2006/relationships/image" Target="media/image5.jpeg"/><Relationship Id="rId10" Type="http://schemas.openxmlformats.org/officeDocument/2006/relationships/hyperlink" Target="http://www.rincondelvago.com/informacion/premios-nobel/img/premio_nobel_quimica_1.jpg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rincondelvago.com/informacion/premios-nobel/premio-nobel-de-quimica" TargetMode="External"/><Relationship Id="rId14" Type="http://schemas.openxmlformats.org/officeDocument/2006/relationships/hyperlink" Target="http://www.rincondelvago.com/informacion/premios-nobel/premio-nobel-de-fisica" TargetMode="External"/><Relationship Id="rId22" Type="http://schemas.openxmlformats.org/officeDocument/2006/relationships/hyperlink" Target="http://www.rincondelvago.com/informacion/premios-nobel/img/premio_nobel_quimica_3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1313</Words>
  <Characters>7223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PATICO</dc:creator>
  <cp:lastModifiedBy>PATICO</cp:lastModifiedBy>
  <cp:revision>2</cp:revision>
  <dcterms:created xsi:type="dcterms:W3CDTF">2013-03-17T04:13:00Z</dcterms:created>
  <dcterms:modified xsi:type="dcterms:W3CDTF">2013-03-17T04:13:00Z</dcterms:modified>
</cp:coreProperties>
</file>